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6D" w:rsidRDefault="00A2026D"/>
    <w:p w:rsidR="00C962B5" w:rsidRDefault="00C962B5"/>
    <w:p w:rsidR="00E87531" w:rsidRPr="00C962B5" w:rsidRDefault="00E87531">
      <w:pPr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  <w:t>Einzelpreis</w:t>
      </w:r>
      <w:r w:rsidR="00640122" w:rsidRPr="00C962B5">
        <w:rPr>
          <w:rFonts w:asciiTheme="majorHAnsi" w:hAnsiTheme="majorHAnsi"/>
          <w:sz w:val="20"/>
          <w:szCs w:val="20"/>
        </w:rPr>
        <w:t xml:space="preserve"> (€)</w:t>
      </w:r>
      <w:r w:rsidRPr="00C962B5">
        <w:rPr>
          <w:rFonts w:asciiTheme="majorHAnsi" w:hAnsiTheme="majorHAnsi"/>
          <w:sz w:val="20"/>
          <w:szCs w:val="20"/>
        </w:rPr>
        <w:tab/>
      </w:r>
      <w:r w:rsidR="00640122" w:rsidRPr="00C962B5">
        <w:rPr>
          <w:rFonts w:asciiTheme="majorHAnsi" w:hAnsiTheme="majorHAnsi"/>
          <w:sz w:val="20"/>
          <w:szCs w:val="20"/>
        </w:rPr>
        <w:t xml:space="preserve">  </w:t>
      </w:r>
      <w:r w:rsidRPr="00C962B5">
        <w:rPr>
          <w:rFonts w:asciiTheme="majorHAnsi" w:hAnsiTheme="majorHAnsi"/>
          <w:sz w:val="20"/>
          <w:szCs w:val="20"/>
        </w:rPr>
        <w:t>Gesamtpreis</w:t>
      </w:r>
      <w:r w:rsidR="00640122" w:rsidRPr="00C962B5">
        <w:rPr>
          <w:rFonts w:asciiTheme="majorHAnsi" w:hAnsiTheme="majorHAnsi"/>
          <w:sz w:val="20"/>
          <w:szCs w:val="20"/>
        </w:rPr>
        <w:t xml:space="preserve"> (€)</w:t>
      </w:r>
    </w:p>
    <w:p w:rsidR="00640122" w:rsidRPr="00C962B5" w:rsidRDefault="00640122">
      <w:pPr>
        <w:rPr>
          <w:rFonts w:asciiTheme="majorHAnsi" w:hAnsiTheme="majorHAnsi"/>
          <w:sz w:val="20"/>
          <w:szCs w:val="20"/>
        </w:rPr>
      </w:pPr>
    </w:p>
    <w:p w:rsidR="00640122" w:rsidRPr="00C962B5" w:rsidRDefault="00640122">
      <w:pPr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1</w:t>
      </w:r>
      <w:r w:rsidR="001919D6"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Baustellen-Einrichtung</w:t>
      </w:r>
    </w:p>
    <w:p w:rsidR="00640122" w:rsidRPr="00C962B5" w:rsidRDefault="00640122" w:rsidP="001919D6">
      <w:pPr>
        <w:ind w:left="1418" w:right="4393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An- und Abreise des Verlegepersonals, Auf- u. Abbau von Maschinen u. Geräte, sowie Vorhalten desselben während der Bauzeit u. Anlieferung des notwendigen Beschichtungmaterials</w:t>
      </w:r>
    </w:p>
    <w:p w:rsidR="00640122" w:rsidRPr="00C962B5" w:rsidRDefault="001919D6" w:rsidP="00640122">
      <w:pPr>
        <w:tabs>
          <w:tab w:val="left" w:pos="6379"/>
          <w:tab w:val="left" w:pos="9355"/>
        </w:tabs>
        <w:ind w:left="709" w:right="-1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 xml:space="preserve">              </w:t>
      </w:r>
      <w:r w:rsidR="00C962B5">
        <w:rPr>
          <w:rFonts w:asciiTheme="majorHAnsi" w:hAnsiTheme="majorHAnsi"/>
          <w:sz w:val="20"/>
          <w:szCs w:val="20"/>
        </w:rPr>
        <w:t xml:space="preserve">  </w:t>
      </w:r>
      <w:r w:rsidR="00640122" w:rsidRPr="00C962B5">
        <w:rPr>
          <w:rFonts w:asciiTheme="majorHAnsi" w:hAnsiTheme="majorHAnsi"/>
          <w:sz w:val="20"/>
          <w:szCs w:val="20"/>
        </w:rPr>
        <w:t xml:space="preserve">pro Bauabschnitt/ Phase </w:t>
      </w:r>
      <w:r w:rsidR="00C962B5" w:rsidRPr="00C962B5">
        <w:rPr>
          <w:rFonts w:asciiTheme="majorHAnsi" w:hAnsiTheme="majorHAnsi"/>
          <w:sz w:val="20"/>
          <w:szCs w:val="20"/>
        </w:rPr>
        <w:tab/>
      </w:r>
      <w:r w:rsidR="00640122" w:rsidRPr="00C962B5">
        <w:rPr>
          <w:rFonts w:asciiTheme="majorHAnsi" w:hAnsiTheme="majorHAnsi"/>
          <w:sz w:val="20"/>
          <w:szCs w:val="20"/>
        </w:rPr>
        <w:t xml:space="preserve">                                          </w:t>
      </w:r>
      <w:r w:rsidR="00640122" w:rsidRPr="00C962B5">
        <w:rPr>
          <w:rFonts w:asciiTheme="majorHAnsi" w:hAnsiTheme="majorHAnsi"/>
          <w:sz w:val="20"/>
          <w:szCs w:val="20"/>
        </w:rPr>
        <w:tab/>
      </w:r>
    </w:p>
    <w:p w:rsidR="00C962B5" w:rsidRDefault="00C962B5" w:rsidP="001919D6">
      <w:pPr>
        <w:ind w:left="1418" w:right="4535" w:hanging="1418"/>
        <w:rPr>
          <w:rFonts w:asciiTheme="majorHAnsi" w:hAnsiTheme="majorHAnsi"/>
          <w:sz w:val="20"/>
          <w:szCs w:val="20"/>
        </w:rPr>
      </w:pPr>
    </w:p>
    <w:p w:rsidR="00640122" w:rsidRPr="00C962B5" w:rsidRDefault="00640122" w:rsidP="001919D6">
      <w:pPr>
        <w:ind w:left="1418" w:right="4535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2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Bearbeiten u. Vorbereiten der Untergründe</w:t>
      </w:r>
      <w:r w:rsidR="001919D6" w:rsidRPr="00C962B5">
        <w:rPr>
          <w:rFonts w:asciiTheme="majorHAnsi" w:hAnsiTheme="majorHAnsi"/>
          <w:b/>
          <w:sz w:val="20"/>
          <w:szCs w:val="20"/>
        </w:rPr>
        <w:t xml:space="preserve"> </w:t>
      </w:r>
      <w:r w:rsidRPr="00C962B5">
        <w:rPr>
          <w:rFonts w:asciiTheme="majorHAnsi" w:hAnsiTheme="majorHAnsi"/>
          <w:b/>
          <w:sz w:val="20"/>
          <w:szCs w:val="20"/>
        </w:rPr>
        <w:t>(Unterböden)</w:t>
      </w:r>
    </w:p>
    <w:p w:rsidR="001919D6" w:rsidRPr="00C962B5" w:rsidRDefault="001919D6" w:rsidP="00640122">
      <w:pPr>
        <w:ind w:right="4535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ab/>
        <w:t>Schleifen, Kugelstrahlen, Absaugen</w:t>
      </w:r>
      <w:r w:rsidR="00C962B5" w:rsidRPr="00C962B5">
        <w:rPr>
          <w:rFonts w:asciiTheme="majorHAnsi" w:hAnsiTheme="majorHAnsi"/>
          <w:sz w:val="20"/>
          <w:szCs w:val="20"/>
        </w:rPr>
        <w:t xml:space="preserve">                                      </w:t>
      </w:r>
    </w:p>
    <w:p w:rsidR="001919D6" w:rsidRPr="00C962B5" w:rsidRDefault="001919D6" w:rsidP="001919D6">
      <w:pPr>
        <w:ind w:left="1418" w:right="4535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(Sondermaßnahmen: Fräsen, Stemmen, Ausbrechen / Std. nach Aufwand)</w:t>
      </w:r>
    </w:p>
    <w:p w:rsidR="00C962B5" w:rsidRDefault="00C962B5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1919D6" w:rsidRPr="00C962B5" w:rsidRDefault="001919D6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2.1</w:t>
      </w:r>
      <w:r w:rsidRPr="00C962B5">
        <w:rPr>
          <w:rFonts w:asciiTheme="majorHAnsi" w:hAnsiTheme="majorHAnsi"/>
          <w:sz w:val="20"/>
          <w:szCs w:val="20"/>
        </w:rPr>
        <w:tab/>
      </w:r>
      <w:r w:rsidR="00A95A57" w:rsidRPr="00C962B5">
        <w:rPr>
          <w:rFonts w:asciiTheme="majorHAnsi" w:hAnsiTheme="majorHAnsi"/>
          <w:b/>
          <w:sz w:val="20"/>
          <w:szCs w:val="20"/>
        </w:rPr>
        <w:t>Besondere Untergrundvorbereitungen</w:t>
      </w:r>
    </w:p>
    <w:p w:rsidR="00A95A57" w:rsidRPr="00C962B5" w:rsidRDefault="00A95A57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Bei ungleichmäßiger Beschaffenheit des zu beschichtenden Untergrundes, der nicht den baulichen Erfordernissen nach DIN 18202 Blatt 3, Zeile 3 entspricht oder nach Abstimmung,</w:t>
      </w:r>
      <w:r w:rsidRPr="00C962B5">
        <w:rPr>
          <w:rFonts w:asciiTheme="majorHAnsi" w:hAnsiTheme="majorHAnsi"/>
          <w:sz w:val="20"/>
          <w:szCs w:val="20"/>
        </w:rPr>
        <w:br/>
      </w:r>
      <w:r w:rsidRPr="00C962B5">
        <w:rPr>
          <w:rFonts w:asciiTheme="majorHAnsi" w:hAnsiTheme="majorHAnsi"/>
          <w:sz w:val="20"/>
          <w:szCs w:val="20"/>
          <w:u w:val="single"/>
        </w:rPr>
        <w:t>Aufbringen einer schnellhärtenden Ausgleichsschicht zum Verfüllen von Löchern, Ausbrüchen, Fehlstellen, Rohrdurchführungen, großen Rissen, Pfützenstellen u. zum Anarbeiten von Rinnen, Gullys, Stahlprofilen, Dehn- u. Fugenprofilen, Gefälleausgleich, Anrampungen, zum Anarbeiten an Übergängen, Altbelägen u. Wannen</w:t>
      </w:r>
      <w:r w:rsidRPr="00C962B5">
        <w:rPr>
          <w:rFonts w:asciiTheme="majorHAnsi" w:hAnsiTheme="majorHAnsi"/>
          <w:sz w:val="20"/>
          <w:szCs w:val="20"/>
        </w:rPr>
        <w:t xml:space="preserve"> mittels Acryl-Ausgleichsmörtel bestehend aus Acrylharz u. Feinfüllstoff (QS= 0,06-0,2</w:t>
      </w:r>
      <w:r w:rsidR="00FD14C6" w:rsidRPr="00C962B5">
        <w:rPr>
          <w:rFonts w:asciiTheme="majorHAnsi" w:hAnsiTheme="majorHAnsi"/>
          <w:sz w:val="20"/>
          <w:szCs w:val="20"/>
        </w:rPr>
        <w:t xml:space="preserve"> </w:t>
      </w:r>
      <w:r w:rsidRPr="00C962B5">
        <w:rPr>
          <w:rFonts w:asciiTheme="majorHAnsi" w:hAnsiTheme="majorHAnsi"/>
          <w:sz w:val="20"/>
          <w:szCs w:val="20"/>
        </w:rPr>
        <w:t>mm) im Verhältnis 1:1.</w:t>
      </w:r>
    </w:p>
    <w:p w:rsidR="00A95A57" w:rsidRPr="00C962B5" w:rsidRDefault="00A95A57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Kg.</w:t>
      </w:r>
    </w:p>
    <w:p w:rsidR="00C962B5" w:rsidRDefault="00C962B5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Default="00C962B5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A95A57" w:rsidRPr="00C962B5" w:rsidRDefault="00A95A57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lastRenderedPageBreak/>
        <w:t>Pos. 2.1.1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Lohnstunden für Pos. 2.1</w:t>
      </w:r>
    </w:p>
    <w:p w:rsidR="00FD14C6" w:rsidRPr="00C962B5" w:rsidRDefault="00FD14C6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Für Ausgleichs- u. Anarbeitungskosten</w:t>
      </w:r>
    </w:p>
    <w:p w:rsidR="00FD14C6" w:rsidRDefault="00FD14C6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pro </w:t>
      </w:r>
      <w:r w:rsidR="00E124D5">
        <w:rPr>
          <w:rFonts w:asciiTheme="majorHAnsi" w:hAnsiTheme="majorHAnsi"/>
          <w:sz w:val="20"/>
          <w:szCs w:val="20"/>
        </w:rPr>
        <w:t xml:space="preserve">Pers./ </w:t>
      </w:r>
      <w:r w:rsidRPr="00C962B5">
        <w:rPr>
          <w:rFonts w:asciiTheme="majorHAnsi" w:hAnsiTheme="majorHAnsi"/>
          <w:sz w:val="20"/>
          <w:szCs w:val="20"/>
        </w:rPr>
        <w:t>Std.</w:t>
      </w:r>
    </w:p>
    <w:p w:rsidR="00C962B5" w:rsidRPr="00C962B5" w:rsidRDefault="00C962B5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FD14C6" w:rsidRPr="00C962B5" w:rsidRDefault="00FD14C6" w:rsidP="00A95A5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2.2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Grundierung</w:t>
      </w:r>
    </w:p>
    <w:p w:rsidR="00FD14C6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Vorbereitete Bodenflächen mit niedrigviskosem, schnellaushärtenden, farblosem, ungefülltem Acrylharz (Haftgrundierung) zum Porenverschluss u. Verfestigung des Untergrundes mit anschließender Absandung, ca. 250g/m² im nicht ausgehärtetem Zustand (QS= 0,7-1,2 mm) zur Aufnahme der nachfolgenden Beschichtung </w:t>
      </w:r>
      <w:r w:rsidRPr="00C962B5">
        <w:rPr>
          <w:rFonts w:asciiTheme="majorHAnsi" w:hAnsiTheme="majorHAnsi"/>
          <w:sz w:val="20"/>
          <w:szCs w:val="20"/>
        </w:rPr>
        <w:br/>
        <w:t>Verbrauch: 400-500 g/m²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FD14C6" w:rsidRPr="00C962B5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2.3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Federungs- u. Dichtebene (Membrane)</w:t>
      </w:r>
    </w:p>
    <w:p w:rsidR="00FD14C6" w:rsidRPr="00C962B5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Hochelastisch- ungefüllt bei folgenden Unterböden: Fliesen, VB-Pflaster, Asphalt, Holzdielen, Span- u. Siebdruck-platten, Stahlunterböden</w:t>
      </w:r>
      <w:r w:rsidRPr="00C962B5">
        <w:rPr>
          <w:rFonts w:asciiTheme="majorHAnsi" w:hAnsiTheme="majorHAnsi"/>
          <w:sz w:val="20"/>
          <w:szCs w:val="20"/>
        </w:rPr>
        <w:br/>
        <w:t>aus ca. 1- 1,5 mm reinem, ungefülltem Acrylat bestehend, auch als zusätzliche Dichtebene anwendbar</w:t>
      </w:r>
    </w:p>
    <w:p w:rsidR="00FD14C6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m²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FD14C6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FD14C6" w:rsidRPr="00C962B5" w:rsidRDefault="00FD14C6" w:rsidP="00FD14C6">
      <w:pPr>
        <w:ind w:left="1418" w:right="4252" w:hanging="1418"/>
        <w:rPr>
          <w:rFonts w:asciiTheme="majorHAnsi" w:hAnsiTheme="majorHAnsi"/>
          <w:b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Zwischensumme:</w:t>
      </w:r>
    </w:p>
    <w:p w:rsidR="00FD14C6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FD14C6" w:rsidRPr="00C962B5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lastRenderedPageBreak/>
        <w:t>Pos. 3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Beschichtung</w:t>
      </w:r>
    </w:p>
    <w:p w:rsidR="00010169" w:rsidRPr="00C962B5" w:rsidRDefault="00FD14C6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</w:r>
      <w:r w:rsidR="00010169" w:rsidRPr="00C962B5">
        <w:rPr>
          <w:rFonts w:asciiTheme="majorHAnsi" w:hAnsiTheme="majorHAnsi"/>
          <w:sz w:val="20"/>
          <w:szCs w:val="20"/>
        </w:rPr>
        <w:t>Einbringen der verschleißfesten, elastisch</w:t>
      </w:r>
      <w:r w:rsidR="00901964">
        <w:rPr>
          <w:rFonts w:asciiTheme="majorHAnsi" w:hAnsiTheme="majorHAnsi"/>
          <w:sz w:val="20"/>
          <w:szCs w:val="20"/>
        </w:rPr>
        <w:t>-</w:t>
      </w:r>
      <w:r w:rsidR="00010169" w:rsidRPr="00C962B5">
        <w:rPr>
          <w:rFonts w:asciiTheme="majorHAnsi" w:hAnsiTheme="majorHAnsi"/>
          <w:sz w:val="20"/>
          <w:szCs w:val="20"/>
        </w:rPr>
        <w:t xml:space="preserve"> bleibenden Beschichtung aus einem schnellhärtenden elastifizierten Met</w:t>
      </w:r>
      <w:r w:rsidR="0028082B" w:rsidRPr="00C962B5">
        <w:rPr>
          <w:rFonts w:asciiTheme="majorHAnsi" w:hAnsiTheme="majorHAnsi"/>
          <w:sz w:val="20"/>
          <w:szCs w:val="20"/>
        </w:rPr>
        <w:t>hylmeth</w:t>
      </w:r>
      <w:r w:rsidR="00010169" w:rsidRPr="00C962B5">
        <w:rPr>
          <w:rFonts w:asciiTheme="majorHAnsi" w:hAnsiTheme="majorHAnsi"/>
          <w:sz w:val="20"/>
          <w:szCs w:val="20"/>
        </w:rPr>
        <w:t>acrylat in einer Mindeststärke von ……… mm mit anschließender vollflächiger Abstreuung (in der noch nicht ausgehärteten Schicht) mit Farbsand 0,7 bis 1,2mm für eine Rutschhemmstufe in R …… und dem gewünschten Verdrängungsraum V: …… Farbe/ Colorit nach Wunsch des Auftraggebers (Rutschhemmstufe u. Verdrängungsraum je nach Nutzung der fertigen Beschichtung)</w:t>
      </w:r>
    </w:p>
    <w:p w:rsidR="00010169" w:rsidRDefault="00010169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m²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010169" w:rsidRPr="00C962B5" w:rsidRDefault="00010169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4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Versiegelung (1. und/ oder 2. Versiegelung nach Erfordernis)</w:t>
      </w:r>
    </w:p>
    <w:p w:rsidR="0028082B" w:rsidRPr="00C962B5" w:rsidRDefault="00010169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Aufbringen</w:t>
      </w:r>
      <w:r w:rsidR="0028082B" w:rsidRPr="00C962B5">
        <w:rPr>
          <w:rFonts w:asciiTheme="majorHAnsi" w:hAnsiTheme="majorHAnsi"/>
          <w:sz w:val="20"/>
          <w:szCs w:val="20"/>
        </w:rPr>
        <w:t xml:space="preserve"> einer transparenten Deckschicht als dauerhafte, begeh- und befahrbare Oberfläche auf Basis eines Methylmethacrylatharzes mit verbesserter Beständigkeit gegen warmes Wasser</w:t>
      </w:r>
      <w:r w:rsidR="00901964">
        <w:rPr>
          <w:rFonts w:asciiTheme="majorHAnsi" w:hAnsiTheme="majorHAnsi"/>
          <w:sz w:val="20"/>
          <w:szCs w:val="20"/>
        </w:rPr>
        <w:t xml:space="preserve"> </w:t>
      </w:r>
      <w:r w:rsidR="0028082B" w:rsidRPr="00C962B5">
        <w:rPr>
          <w:rFonts w:asciiTheme="majorHAnsi" w:hAnsiTheme="majorHAnsi"/>
          <w:sz w:val="20"/>
          <w:szCs w:val="20"/>
        </w:rPr>
        <w:t>und Fetten</w:t>
      </w:r>
      <w:r w:rsidR="00901964" w:rsidRPr="00901964">
        <w:rPr>
          <w:rFonts w:asciiTheme="majorHAnsi" w:hAnsiTheme="majorHAnsi"/>
          <w:sz w:val="20"/>
          <w:szCs w:val="20"/>
        </w:rPr>
        <w:t xml:space="preserve"> </w:t>
      </w:r>
      <w:r w:rsidR="00901964">
        <w:rPr>
          <w:rFonts w:asciiTheme="majorHAnsi" w:hAnsiTheme="majorHAnsi"/>
          <w:sz w:val="20"/>
          <w:szCs w:val="20"/>
        </w:rPr>
        <w:t>bis +80 °C</w:t>
      </w:r>
    </w:p>
    <w:p w:rsidR="0028082B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m²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28082B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</w:t>
      </w:r>
      <w:r w:rsidR="0028082B" w:rsidRPr="00C962B5">
        <w:rPr>
          <w:rFonts w:asciiTheme="majorHAnsi" w:hAnsiTheme="majorHAnsi"/>
          <w:sz w:val="20"/>
          <w:szCs w:val="20"/>
        </w:rPr>
        <w:tab/>
      </w:r>
      <w:r w:rsidR="0028082B" w:rsidRPr="00C962B5">
        <w:rPr>
          <w:rFonts w:asciiTheme="majorHAnsi" w:hAnsiTheme="majorHAnsi"/>
          <w:b/>
          <w:sz w:val="20"/>
          <w:szCs w:val="20"/>
        </w:rPr>
        <w:t>Techn. Positionen/ Besonderheiten/ Fugen/ Risse</w:t>
      </w:r>
    </w:p>
    <w:p w:rsidR="0028082B" w:rsidRPr="00C962B5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Bearbeiten von Arbeitsfugen, Einschneiden, Entstauben, Absaugen, Verfüllen mit Acrylharz-Fugenmasse</w:t>
      </w:r>
    </w:p>
    <w:p w:rsidR="0028082B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pro lfm. 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28082B" w:rsidRPr="00C962B5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5.1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Bearbeitung von breiten Fugen und Risse</w:t>
      </w:r>
      <w:r w:rsidR="00901964">
        <w:rPr>
          <w:rFonts w:asciiTheme="majorHAnsi" w:hAnsiTheme="majorHAnsi"/>
          <w:b/>
          <w:sz w:val="20"/>
          <w:szCs w:val="20"/>
        </w:rPr>
        <w:t>n</w:t>
      </w:r>
      <w:r w:rsidRPr="00C962B5">
        <w:rPr>
          <w:rFonts w:asciiTheme="majorHAnsi" w:hAnsiTheme="majorHAnsi"/>
          <w:b/>
          <w:sz w:val="20"/>
          <w:szCs w:val="20"/>
        </w:rPr>
        <w:t xml:space="preserve"> mit mehr als 6,0 mm Breite</w:t>
      </w:r>
    </w:p>
    <w:p w:rsidR="0028082B" w:rsidRPr="00C962B5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Glasvliesgewebeeinlagen</w:t>
      </w:r>
      <w:r w:rsidR="00901964">
        <w:rPr>
          <w:rFonts w:asciiTheme="majorHAnsi" w:hAnsiTheme="majorHAnsi"/>
          <w:sz w:val="20"/>
          <w:szCs w:val="20"/>
        </w:rPr>
        <w:t xml:space="preserve"> oberhalb von Fugen und Rissen </w:t>
      </w:r>
      <w:r w:rsidRPr="00C962B5">
        <w:rPr>
          <w:rFonts w:asciiTheme="majorHAnsi" w:hAnsiTheme="majorHAnsi"/>
          <w:sz w:val="20"/>
          <w:szCs w:val="20"/>
        </w:rPr>
        <w:t xml:space="preserve"> in die Acrylharz-Grundierung </w:t>
      </w:r>
      <w:r w:rsidR="00901964">
        <w:rPr>
          <w:rFonts w:asciiTheme="majorHAnsi" w:hAnsiTheme="majorHAnsi"/>
          <w:sz w:val="20"/>
          <w:szCs w:val="20"/>
        </w:rPr>
        <w:t xml:space="preserve">stramm </w:t>
      </w:r>
      <w:r w:rsidRPr="00C962B5">
        <w:rPr>
          <w:rFonts w:asciiTheme="majorHAnsi" w:hAnsiTheme="majorHAnsi"/>
          <w:sz w:val="20"/>
          <w:szCs w:val="20"/>
        </w:rPr>
        <w:t>einarbeiten</w:t>
      </w:r>
    </w:p>
    <w:p w:rsidR="0028082B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lfm.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28082B" w:rsidRPr="00C962B5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5.2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Stabile Dreieckskehlen bis 5cm Höhe</w:t>
      </w:r>
    </w:p>
    <w:p w:rsidR="0028082B" w:rsidRPr="00C962B5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Nahtlose, fugenlose Kehlsockeln im Boden-/ Wandanschluss mit glatter OF anbringen </w:t>
      </w:r>
      <w:r w:rsidR="00FD14C6" w:rsidRPr="00C962B5">
        <w:rPr>
          <w:rFonts w:asciiTheme="majorHAnsi" w:hAnsiTheme="majorHAnsi"/>
          <w:sz w:val="20"/>
          <w:szCs w:val="20"/>
        </w:rPr>
        <w:t xml:space="preserve"> </w:t>
      </w:r>
      <w:r w:rsidRPr="00C962B5">
        <w:rPr>
          <w:rFonts w:asciiTheme="majorHAnsi" w:hAnsiTheme="majorHAnsi"/>
          <w:sz w:val="20"/>
          <w:szCs w:val="20"/>
        </w:rPr>
        <w:br/>
        <w:t>Farbe/ Colorit: entsprechend an der Bodenbeschichtung angelehnt</w:t>
      </w:r>
    </w:p>
    <w:p w:rsidR="0028082B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lfm.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28082B" w:rsidRPr="00C962B5" w:rsidRDefault="0028082B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5.3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Hohlkehlen</w:t>
      </w:r>
    </w:p>
    <w:p w:rsidR="0049099A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Hohlkehlenhöhe:</w:t>
      </w:r>
      <w:r w:rsidR="0028082B" w:rsidRPr="00C962B5">
        <w:rPr>
          <w:rFonts w:asciiTheme="majorHAnsi" w:hAnsiTheme="majorHAnsi"/>
          <w:sz w:val="20"/>
          <w:szCs w:val="20"/>
        </w:rPr>
        <w:t xml:space="preserve"> …... cm, OF: glatt, fugenlos zum Boden, Farbe/ Colorit: entsprechend der Bodenbeschichtung angepasst, bei neuen Wandfliesen die Kehlen an den unteren Rand fugenlos anarbeiten</w:t>
      </w:r>
      <w:r w:rsidRPr="00C962B5">
        <w:rPr>
          <w:rFonts w:asciiTheme="majorHAnsi" w:hAnsiTheme="majorHAnsi"/>
          <w:sz w:val="20"/>
          <w:szCs w:val="20"/>
        </w:rPr>
        <w:t>, bei Panelwänden, o. anderen</w:t>
      </w:r>
      <w:r w:rsidR="0028082B" w:rsidRPr="00C962B5">
        <w:rPr>
          <w:rFonts w:asciiTheme="majorHAnsi" w:hAnsiTheme="majorHAnsi"/>
          <w:sz w:val="20"/>
          <w:szCs w:val="20"/>
        </w:rPr>
        <w:t xml:space="preserve"> entsprechenden</w:t>
      </w:r>
      <w:r w:rsidRPr="00C962B5">
        <w:rPr>
          <w:rFonts w:asciiTheme="majorHAnsi" w:hAnsiTheme="majorHAnsi"/>
          <w:sz w:val="20"/>
          <w:szCs w:val="20"/>
        </w:rPr>
        <w:t xml:space="preserve"> Profilen anarbeiten</w:t>
      </w:r>
    </w:p>
    <w:p w:rsidR="0049099A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pro lfm. 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49099A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5.3.1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Mehr- oder Minderhöhen</w:t>
      </w:r>
    </w:p>
    <w:p w:rsidR="0049099A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lfm./ cm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49099A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5.3.2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Zuschlag für Ecken - innen+ außen</w:t>
      </w:r>
    </w:p>
    <w:p w:rsidR="0049099A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lfm. Kehlen (nicht pro Stck.</w:t>
      </w:r>
      <w:r w:rsidR="00901964">
        <w:rPr>
          <w:rFonts w:asciiTheme="majorHAnsi" w:hAnsiTheme="majorHAnsi"/>
          <w:sz w:val="20"/>
          <w:szCs w:val="20"/>
        </w:rPr>
        <w:t>!</w:t>
      </w:r>
      <w:r w:rsidRPr="00C962B5">
        <w:rPr>
          <w:rFonts w:asciiTheme="majorHAnsi" w:hAnsiTheme="majorHAnsi"/>
          <w:sz w:val="20"/>
          <w:szCs w:val="20"/>
        </w:rPr>
        <w:t>)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49099A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5.4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Bodeneinläufe, Tanks, Rinnen u. Rohrdurchführungen</w:t>
      </w:r>
    </w:p>
    <w:p w:rsidR="0049099A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entsprechend den vorgegebenen Positionen Freistemmen, bzw. Fräsen o.ä. und nahtlos Anarbeiten mit Acrylharz</w:t>
      </w:r>
    </w:p>
    <w:p w:rsidR="0049099A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pro Stck. </w:t>
      </w:r>
      <w:r w:rsidRPr="00C962B5">
        <w:rPr>
          <w:rFonts w:asciiTheme="majorHAnsi" w:hAnsiTheme="majorHAnsi"/>
          <w:sz w:val="20"/>
          <w:szCs w:val="20"/>
        </w:rPr>
        <w:tab/>
        <w:t xml:space="preserve"> bzw. pro lfm </w:t>
      </w:r>
      <w:r w:rsidR="0028082B" w:rsidRPr="00C962B5">
        <w:rPr>
          <w:rFonts w:asciiTheme="majorHAnsi" w:hAnsiTheme="majorHAnsi"/>
          <w:sz w:val="20"/>
          <w:szCs w:val="20"/>
        </w:rPr>
        <w:t xml:space="preserve"> </w:t>
      </w:r>
    </w:p>
    <w:p w:rsid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49099A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5.5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Anarbeiten an Schienen, sonst. Profilen an Schächten oder Anschlussstellen an vorhandene Beläge oder Maschinen</w:t>
      </w:r>
    </w:p>
    <w:p w:rsidR="00FD14C6" w:rsidRPr="00C962B5" w:rsidRDefault="0049099A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entsprechend den obigen Vorgaben Freistemmen, bzw. Fräsen oder sonstige </w:t>
      </w:r>
      <w:r w:rsidR="00901964">
        <w:rPr>
          <w:rFonts w:asciiTheme="majorHAnsi" w:hAnsiTheme="majorHAnsi"/>
          <w:sz w:val="20"/>
          <w:szCs w:val="20"/>
        </w:rPr>
        <w:lastRenderedPageBreak/>
        <w:t>Maßnahmen</w:t>
      </w:r>
      <w:r w:rsidRPr="00C962B5">
        <w:rPr>
          <w:rFonts w:asciiTheme="majorHAnsi" w:hAnsiTheme="majorHAnsi"/>
          <w:sz w:val="20"/>
          <w:szCs w:val="20"/>
        </w:rPr>
        <w:t xml:space="preserve"> nahtlos Anarbeiten mit Acrylharz </w:t>
      </w:r>
    </w:p>
    <w:p w:rsidR="000642D7" w:rsidRDefault="000642D7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>pro lfm.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0642D7" w:rsidRPr="00C962B5" w:rsidRDefault="000642D7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5.6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Tor- und Türschwellen z.B. zum Befahren mit Hubwagen, Gabelstaplern und sonstigen Flurförderfahrzeugen, auch als Auffangschwellen und Auffangwannen bei z.B. wassergefährdeten Stoffen (Scheitelhöhen nach Absprache u. Vorschrift)</w:t>
      </w:r>
    </w:p>
    <w:p w:rsidR="000642D7" w:rsidRDefault="000642D7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ab/>
        <w:t xml:space="preserve">pro lfm. </w:t>
      </w:r>
    </w:p>
    <w:p w:rsidR="00C962B5" w:rsidRPr="00C962B5" w:rsidRDefault="00C962B5" w:rsidP="00FD14C6">
      <w:pPr>
        <w:ind w:left="1418" w:right="4252" w:hanging="1418"/>
        <w:rPr>
          <w:rFonts w:asciiTheme="majorHAnsi" w:hAnsiTheme="majorHAnsi"/>
          <w:sz w:val="20"/>
          <w:szCs w:val="20"/>
        </w:rPr>
      </w:pPr>
    </w:p>
    <w:p w:rsidR="000642D7" w:rsidRPr="00C962B5" w:rsidRDefault="000642D7" w:rsidP="000642D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5.7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Treppenbeschichtungen:</w:t>
      </w:r>
      <w:r w:rsidRPr="00C962B5">
        <w:rPr>
          <w:rFonts w:asciiTheme="majorHAnsi" w:hAnsiTheme="majorHAnsi"/>
          <w:b/>
          <w:sz w:val="20"/>
          <w:szCs w:val="20"/>
        </w:rPr>
        <w:br/>
        <w:t>Untergrund, Anzahl der Stufen, Länge, Breite, Höhe, mit/ohne V2A- Winkeln, Schlüterschienen</w:t>
      </w:r>
    </w:p>
    <w:p w:rsidR="000642D7" w:rsidRDefault="000642D7" w:rsidP="000642D7">
      <w:pPr>
        <w:ind w:left="1418" w:right="4252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pro Stck.</w:t>
      </w:r>
    </w:p>
    <w:p w:rsidR="00C962B5" w:rsidRPr="00C962B5" w:rsidRDefault="00C962B5" w:rsidP="000642D7">
      <w:pPr>
        <w:ind w:left="1418" w:right="4252"/>
        <w:rPr>
          <w:rFonts w:asciiTheme="majorHAnsi" w:hAnsiTheme="majorHAnsi"/>
          <w:sz w:val="20"/>
          <w:szCs w:val="20"/>
        </w:rPr>
      </w:pPr>
    </w:p>
    <w:p w:rsidR="000642D7" w:rsidRPr="00C962B5" w:rsidRDefault="000642D7" w:rsidP="000642D7">
      <w:pPr>
        <w:ind w:left="1418" w:right="4252" w:hanging="1418"/>
        <w:rPr>
          <w:rFonts w:asciiTheme="majorHAnsi" w:hAnsiTheme="majorHAnsi"/>
          <w:b/>
          <w:sz w:val="20"/>
          <w:szCs w:val="20"/>
        </w:rPr>
      </w:pPr>
      <w:r w:rsidRPr="00C962B5">
        <w:rPr>
          <w:rFonts w:asciiTheme="majorHAnsi" w:hAnsiTheme="majorHAnsi"/>
          <w:sz w:val="20"/>
          <w:szCs w:val="20"/>
        </w:rPr>
        <w:t>Pos. 6</w:t>
      </w:r>
      <w:r w:rsidRPr="00C962B5">
        <w:rPr>
          <w:rFonts w:asciiTheme="majorHAnsi" w:hAnsiTheme="majorHAnsi"/>
          <w:sz w:val="20"/>
          <w:szCs w:val="20"/>
        </w:rPr>
        <w:tab/>
      </w:r>
      <w:r w:rsidRPr="00C962B5">
        <w:rPr>
          <w:rFonts w:asciiTheme="majorHAnsi" w:hAnsiTheme="majorHAnsi"/>
          <w:b/>
          <w:sz w:val="20"/>
          <w:szCs w:val="20"/>
        </w:rPr>
        <w:t>Aufschlag für vereinbarte Wochenendarbeit / Nachtarbeit / Feiertagsarbeit</w:t>
      </w:r>
    </w:p>
    <w:p w:rsidR="000642D7" w:rsidRPr="00C962B5" w:rsidRDefault="000642D7" w:rsidP="000642D7">
      <w:pPr>
        <w:ind w:left="1418" w:right="4252" w:hanging="1418"/>
        <w:rPr>
          <w:rFonts w:asciiTheme="majorHAnsi" w:hAnsiTheme="majorHAnsi"/>
          <w:sz w:val="20"/>
          <w:szCs w:val="20"/>
        </w:rPr>
      </w:pPr>
      <w:r w:rsidRPr="00C962B5">
        <w:rPr>
          <w:rFonts w:asciiTheme="majorHAnsi" w:hAnsiTheme="majorHAnsi"/>
          <w:b/>
          <w:sz w:val="20"/>
          <w:szCs w:val="20"/>
        </w:rPr>
        <w:tab/>
      </w:r>
      <w:r w:rsidRPr="00C962B5">
        <w:rPr>
          <w:rFonts w:asciiTheme="majorHAnsi" w:hAnsiTheme="majorHAnsi"/>
          <w:sz w:val="20"/>
          <w:szCs w:val="20"/>
        </w:rPr>
        <w:t>pro Pers./ Std.</w:t>
      </w:r>
    </w:p>
    <w:sectPr w:rsidR="000642D7" w:rsidRPr="00C962B5" w:rsidSect="00E87531">
      <w:footerReference w:type="default" r:id="rId7"/>
      <w:headerReference w:type="first" r:id="rId8"/>
      <w:footerReference w:type="first" r:id="rId9"/>
      <w:pgSz w:w="11906" w:h="16838"/>
      <w:pgMar w:top="1417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D1" w:rsidRDefault="00DE13D1" w:rsidP="00E87531">
      <w:pPr>
        <w:spacing w:after="0" w:line="240" w:lineRule="auto"/>
      </w:pPr>
      <w:r>
        <w:separator/>
      </w:r>
    </w:p>
  </w:endnote>
  <w:endnote w:type="continuationSeparator" w:id="0">
    <w:p w:rsidR="00DE13D1" w:rsidRDefault="00DE13D1" w:rsidP="00E8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91619"/>
      <w:docPartObj>
        <w:docPartGallery w:val="Page Numbers (Bottom of Page)"/>
        <w:docPartUnique/>
      </w:docPartObj>
    </w:sdtPr>
    <w:sdtContent>
      <w:p w:rsidR="0049099A" w:rsidRDefault="00901964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7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9099A" w:rsidRDefault="007825E9">
        <w:pPr>
          <w:pStyle w:val="Fuzeile"/>
          <w:jc w:val="center"/>
        </w:pPr>
        <w:fldSimple w:instr=" PAGE    \* MERGEFORMAT ">
          <w:r w:rsidR="00901964">
            <w:rPr>
              <w:noProof/>
            </w:rPr>
            <w:t>5</w:t>
          </w:r>
        </w:fldSimple>
      </w:p>
    </w:sdtContent>
  </w:sdt>
  <w:p w:rsidR="0049099A" w:rsidRDefault="0049099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91618"/>
      <w:docPartObj>
        <w:docPartGallery w:val="Page Numbers (Bottom of Page)"/>
        <w:docPartUnique/>
      </w:docPartObj>
    </w:sdtPr>
    <w:sdtContent>
      <w:p w:rsidR="00A95A57" w:rsidRDefault="00901964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6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A95A57" w:rsidRDefault="007825E9">
        <w:pPr>
          <w:pStyle w:val="Fuzeile"/>
          <w:jc w:val="center"/>
        </w:pPr>
        <w:fldSimple w:instr=" PAGE    \* MERGEFORMAT ">
          <w:r w:rsidR="00901964">
            <w:rPr>
              <w:noProof/>
            </w:rPr>
            <w:t>1</w:t>
          </w:r>
        </w:fldSimple>
      </w:p>
    </w:sdtContent>
  </w:sdt>
  <w:p w:rsidR="00A95A57" w:rsidRDefault="00A95A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D1" w:rsidRDefault="00DE13D1" w:rsidP="00E87531">
      <w:pPr>
        <w:spacing w:after="0" w:line="240" w:lineRule="auto"/>
      </w:pPr>
      <w:r>
        <w:separator/>
      </w:r>
    </w:p>
  </w:footnote>
  <w:footnote w:type="continuationSeparator" w:id="0">
    <w:p w:rsidR="00DE13D1" w:rsidRDefault="00DE13D1" w:rsidP="00E8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5A57" w:rsidRDefault="00A95A57" w:rsidP="00E87531">
        <w:pPr>
          <w:pStyle w:val="Kopfzeile"/>
          <w:ind w:left="-142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87531">
          <w:rPr>
            <w:rFonts w:asciiTheme="majorHAnsi" w:eastAsiaTheme="majorEastAsia" w:hAnsiTheme="majorHAnsi" w:cstheme="majorBidi"/>
            <w:b/>
            <w:sz w:val="28"/>
            <w:szCs w:val="28"/>
          </w:rPr>
          <w:t>Ausschreibungstext für PMMA/ Acrylharz- Bodenbeschichtungen</w:t>
        </w:r>
      </w:p>
    </w:sdtContent>
  </w:sdt>
  <w:p w:rsidR="00A95A57" w:rsidRDefault="007825E9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35pt;margin-top:15.8pt;width:497.75pt;height:.05pt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 [814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7531"/>
    <w:rsid w:val="00010169"/>
    <w:rsid w:val="000642D7"/>
    <w:rsid w:val="001919D6"/>
    <w:rsid w:val="0028082B"/>
    <w:rsid w:val="003D53E7"/>
    <w:rsid w:val="0049099A"/>
    <w:rsid w:val="00640122"/>
    <w:rsid w:val="007825E9"/>
    <w:rsid w:val="00901964"/>
    <w:rsid w:val="00990D69"/>
    <w:rsid w:val="00A2026D"/>
    <w:rsid w:val="00A95A57"/>
    <w:rsid w:val="00AB3B3B"/>
    <w:rsid w:val="00C962B5"/>
    <w:rsid w:val="00DE13D1"/>
    <w:rsid w:val="00E124D5"/>
    <w:rsid w:val="00E87531"/>
    <w:rsid w:val="00FD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81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531"/>
  </w:style>
  <w:style w:type="paragraph" w:styleId="Fuzeile">
    <w:name w:val="footer"/>
    <w:basedOn w:val="Standard"/>
    <w:link w:val="FuzeileZchn"/>
    <w:uiPriority w:val="99"/>
    <w:unhideWhenUsed/>
    <w:rsid w:val="00E8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9EEB-5A5F-4B52-9526-5BBF203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PMMA/ Acrylharz- Bodenbeschichtungen</vt:lpstr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PMMA/ Acrylharz- Bodenbeschichtungen</dc:title>
  <dc:creator>Hans G. Held</dc:creator>
  <cp:lastModifiedBy>Hans G. Held</cp:lastModifiedBy>
  <cp:revision>4</cp:revision>
  <cp:lastPrinted>2015-03-10T07:32:00Z</cp:lastPrinted>
  <dcterms:created xsi:type="dcterms:W3CDTF">2015-03-09T12:07:00Z</dcterms:created>
  <dcterms:modified xsi:type="dcterms:W3CDTF">2015-03-10T07:32:00Z</dcterms:modified>
</cp:coreProperties>
</file>